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2015 22 vom 15. Dezember 2015</w:t>
      </w:r>
    </w:p>
    <w:p>
      <w:r>
        <w:t>GR Gerichte, 2015-12-15, DE</w:t>
      </w:r>
    </w:p>
    <w:p>
      <w:r>
        <w:rPr>
          <w:b/>
        </w:rPr>
        <w:t xml:space="preserve">Quelle: </w:t>
      </w:r>
      <w:r>
        <w:t>https://mcp.opencaselaw.ch/entscheid/gr_gerichte_SK2 2015 22</w:t>
      </w:r>
    </w:p>
    <w:p>
      <w:r>
        <w:t>FR: GR_GERICHTE SK2 2015 22 du 15 décembre 2015</w:t>
      </w:r>
    </w:p>
    <w:p>
      <w:r>
        <w:t>IT: GR_GERICHTE SK2 2015 22 del 15 dicembre 2015</w:t>
      </w:r>
    </w:p>
    <w:p>
      <w:pPr>
        <w:pStyle w:val="Heading2"/>
      </w:pPr>
      <w:r>
        <w:t>Regeste</w:t>
      </w:r>
    </w:p>
    <w:p>
      <w:r>
        <w:t>Misswirtschaft gemäss Art. 165 Ziff. 1 StGB und Führen eines Motorfahrzeugs trotz Entzugs der Aberkennung des erforderlichen Ausweises gemäss Art. 95 Abs. 1 lit. b SVG (verspätete Einsprache gegen Strafbefehl) | Beschwerde gegen Regionalgericht (früher Bezirksgericht)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beschuldige Person wird, teilweise als Zusatzstrafe zum Straf- mandat des Kreispräsidenten Oberengadin vom 27.02.2009, dem Strafbefehl der Staatsanwaltschaft Graubünden vom 11.04.2011 sowie dem Strafbefehl der Staatsanwaltschaft Graubünden vom 30.08.2011, bestraft mit 180 Tagen Freiheitsentzug.</w:t>
      </w:r>
    </w:p>
    <w:p>
      <w:r>
        <w:rPr>
          <w:b/>
        </w:rPr>
        <w:t>E. 3</w:t>
      </w:r>
    </w:p>
    <w:p>
      <w:r>
        <w:t>Die mit Strafmandat des Kreispräsidenten Oberengadin am 27.02.2009 bedingt ausgesprochene Geldstrafe von 120 Tagessätzen zu je CHF 40.00 wird nicht widerrufen und die Beschuldigte verwarnt.</w:t>
      </w:r>
    </w:p>
    <w:p>
      <w:r>
        <w:rPr>
          <w:b/>
        </w:rPr>
        <w:t>E. 4</w:t>
      </w:r>
    </w:p>
    <w:p>
      <w:r>
        <w:t>Die Kosten des Rechtsmittelverfahrens tragen die Parteien nach Massgabe ihres Obsiegens oder Unterliegens. Als unterliegend gilt auch die Partei, auf deren Rechtsmittel nicht eingetreten wird (Art. 428 Abs. 1 StPO). Bei diesem Ausgang des Verfahrens wird der Beschwerdeführer kostenpflichtig. In Anwendung von Art. 8 der Verordnung über die Gerichtsgebühren in Strafverfahren (VGS; BR 350.201) werden die Kosten des Beschwerdeverfahrens vorliegend auf CHF 1'500.00 festgesetzt und der Beschwerdeführerin auferlegt.</w:t>
      </w:r>
    </w:p>
    <w:p>
      <w:r>
        <w:t>Seite 11 — 11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